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>                             </w:t>
      </w:r>
      <w:r w:rsidRPr="00535E37">
        <w:rPr>
          <w:rFonts w:ascii="Courier New" w:eastAsia="Times New Roman" w:hAnsi="Courier New" w:cs="Courier New"/>
          <w:noProof/>
          <w:sz w:val="24"/>
          <w:szCs w:val="20"/>
          <w:lang w:eastAsia="ru-RU"/>
        </w:rPr>
        <w:drawing>
          <wp:inline distT="0" distB="0" distL="0" distR="0">
            <wp:extent cx="571500" cy="762000"/>
            <wp:effectExtent l="0" t="0" r="0" b="0"/>
            <wp:docPr id="1" name="Рисунок 1" descr="https://zakonst.rada.gov.ua/images/gerb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zakonst.rada.gov.ua/images/gerb.gif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>                             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          КАБІНЕТ МІНІСТРІВ УКРАЇНИ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              П О С Т А Н О В А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        від 17 червня 2009 р. N 599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                    Київ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      Питання консультативних, дорадчих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   та інших допоміжних органів, утворених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        Кабінетом Міністрів України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       { Із змінами, внесеними згідно з Розпорядженням КМ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         N 1330-р ( </w:t>
      </w:r>
      <w:hyperlink r:id="rId5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1330-2009-р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11.11.2009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                                           Постановами КМ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         N 983 ( </w:t>
      </w:r>
      <w:hyperlink r:id="rId6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983-2010-п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27.10.2010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         N  98 (  </w:t>
      </w:r>
      <w:hyperlink r:id="rId7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98-2014-п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25.03.2014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         N 124 ( </w:t>
      </w:r>
      <w:hyperlink r:id="rId8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124-2014-п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30.04.2014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         N 691 ( </w:t>
      </w:r>
      <w:hyperlink r:id="rId9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691-2014-п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26.11.2014 }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Відповідно до   статті   51   Закону   України  "Про  Кабінет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Міністрів України"  (   </w:t>
      </w:r>
      <w:hyperlink r:id="rId10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279-17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)   Кабінет   Міністрів   України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  <w:r w:rsidRPr="00535E37">
        <w:rPr>
          <w:rFonts w:ascii="Courier New" w:eastAsia="Times New Roman" w:hAnsi="Courier New" w:cs="Courier New"/>
          <w:bCs/>
          <w:sz w:val="24"/>
          <w:szCs w:val="20"/>
          <w:lang w:eastAsia="ru-RU"/>
        </w:rPr>
        <w:t>п о с т а н о в л я є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: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 Установити,  що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консультативні,  дорадчі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та інші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 xml:space="preserve">допоміжні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br/>
        <w:t>органи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Кабінету  Міністрів  України  (далі  -  </w:t>
      </w:r>
      <w:r w:rsidRPr="00535E37">
        <w:rPr>
          <w:rFonts w:ascii="Courier New" w:eastAsia="Times New Roman" w:hAnsi="Courier New" w:cs="Courier New"/>
          <w:b/>
          <w:sz w:val="24"/>
          <w:szCs w:val="20"/>
          <w:highlight w:val="cyan"/>
          <w:lang w:eastAsia="ru-RU"/>
        </w:rPr>
        <w:t>допоміжні  органи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)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утворюються на постійній або тимчасовій основі Кабінетом Міністрів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України для забезпечення здійснення його повноважень.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Допоміжні органи діють на громадських засадах за колегіальним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принципом,  якщо  інше  не  визначено  актами  Кабінету  Міністрів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України.  {  Абзац  другий пункту 1 із змінами, внесеними згідно з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Постановою КМ N 691 ( </w:t>
      </w:r>
      <w:hyperlink r:id="rId11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691-2014-п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26.11.2014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2. Затвердити Типове положення про консультативний,  дорадчий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та інший допоміжний орган,  утворений Кабінетом Міністрів України,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що додається.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3. Допоміжний орган утворюється як: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комісія -  для  забезпечення  узгодження  дій  центральних  і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місцевих  органів  виконавчої  влади  з   питань,   пов'язаних   з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реалізацією повноважень Кабінету Міністрів України;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комітет -  для  розгляду  питань  щодо  присудження державних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премій;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організаційний   комітет   (координаційний   центр)   -   для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забезпечення   узгодження   дій  центральних  і  місцевих  органів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виконавчої  влади,  органів місцевого самоврядування, підприємств,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установ  та  організацій  з питань підготовки і проведення заходів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загальнодержавного   значення;  {  Абзац  четвертий  пункту  3  із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змінами,   внесеними   згідно   з   Розпорядженням  КМ   N  1330-р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 </w:t>
      </w:r>
      <w:hyperlink r:id="rId12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1330-2009-р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11.11.2009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</w:t>
      </w:r>
      <w:r w:rsidRPr="00535E37">
        <w:rPr>
          <w:rFonts w:ascii="Courier New" w:eastAsia="Times New Roman" w:hAnsi="Courier New" w:cs="Courier New"/>
          <w:b/>
          <w:sz w:val="24"/>
          <w:szCs w:val="20"/>
          <w:highlight w:val="cyan"/>
          <w:lang w:eastAsia="ru-RU"/>
        </w:rPr>
        <w:t>рада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-   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для   </w:t>
      </w:r>
      <w:r w:rsidRPr="00535E37">
        <w:rPr>
          <w:rFonts w:ascii="Courier New" w:eastAsia="Times New Roman" w:hAnsi="Courier New" w:cs="Courier New"/>
          <w:b/>
          <w:color w:val="FFFFFF" w:themeColor="background1"/>
          <w:sz w:val="24"/>
          <w:szCs w:val="20"/>
          <w:highlight w:val="red"/>
          <w:lang w:eastAsia="ru-RU"/>
        </w:rPr>
        <w:t>вивчення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  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проблемних   питань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,  пов'язаних  з 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реалізацією державної політики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 у відповідній сфері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робоча група   -   для   участі   у    підготовці    проектів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нормативно-правових  актів,  інших  документів,  що  подаються  на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розгляд Кабінету Міністрів України;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урядова комісія   -   для   розслідування    причин    аварії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(катастрофи),  вжиття  заходів  до  подолання наслідків стихійного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лиха, надання допомоги потерпілим громадянам та їх сім'ям;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міжвідомча  робоча  група  -  для забезпечення узгоджених дій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центральних   та   місцевих  органів  виконавчої  влади,  вивчення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ситуації  в  окремій  сфері, підготовки пропозицій та рекомендацій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Кабінету  Міністрів  України  для забезпечення моніторингу під час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вирішення   фінансово-економічних  та  інших  питань.  {  Пункт  3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доповнено  абзацом згідно з Постановою КМ N 124 ( </w:t>
      </w:r>
      <w:hyperlink r:id="rId13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124-2014-п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30.04.2014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4. Рішення  про  утворення  допоміжного  органу   приймається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Кабінетом Міністрів України у формі постанови, якою затверджується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положення про такий  орган,  його  посадовий  склад,  керівник  та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заступник (заступники) керівника.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Проект відповідної   постанови   готується   та  вноситься  у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порядку,  встановленому Регламентом Кабінету Міністрів України, що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затверджений  постановою  Кабінету  Міністрів України від 18 липня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2007 р.  N 950 ( </w:t>
      </w:r>
      <w:hyperlink r:id="rId14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950-2007-п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(Офіційний вісник України,  2007 р.,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N 54, ст. 2180).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У разі  недоцільності  подальшого  функціонування допоміжного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органу або  виникнення  потреби  в  достроковому  припиненні  його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діяльності   Кабінет  Міністрів  України  приймає  за  пропозицією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відповідного органу виконавчої  влади  або  з  власної  ініціативи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рішення про його ліквідацію.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Допоміжний орган,   утворений   на   визначений  у  постанові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Кабінету   Міністрів   України   строк,   вважається   таким,   що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ліквідований, з дня закінчення зазначеного строку.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 Міністерствам, іншим органам виконавчої влади: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внести в  установленому  порядку  пропозиції  щодо приведення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актів  Кабінету  Міністрів  України   у   відповідність   з   цією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постановою;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привести власні  нормативно-правові  акти  у  відповідність з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цією постановою.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Прем'єр міністр України                           Ю.ТИМОШЕНКО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     Інд. 40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                                     ЗАТВЕРДЖЕНО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постановою Кабінету Міністрів України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                                  від 17 червня 2009 р. N 599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t xml:space="preserve">                         ТИПОВЕ ПОЛОЖЕННЯ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про консультативний, дорадчий та інший допоміжний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          орган, утворений Кабінетом Міністрів України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  <w:t xml:space="preserve"> </w:t>
      </w:r>
      <w:r w:rsidRPr="00535E37">
        <w:rPr>
          <w:rFonts w:ascii="Courier New" w:eastAsia="Times New Roman" w:hAnsi="Courier New" w:cs="Courier New"/>
          <w:b/>
          <w:bCs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1. Консультативний,  дорадчий  та  інший  допоміжний  орган є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постійно діючим або тимчасовим органом Кабінету Міністрів  України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(далі  - допоміжний орган),  який утворюється ним для забезпечення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здійснення своїх повноважень.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2. Допоміжний орган у своїй діяльності керується Конституцією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 </w:t>
      </w:r>
      <w:hyperlink r:id="rId15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254к/96-ВР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 і законами  України,  а  також  указами Президента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України  та  постановами  Верховної   Ради   України,   прийнятими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відповідно до Конституції ( </w:t>
      </w:r>
      <w:hyperlink r:id="rId16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254к/96-ВР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і законів України, актами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Кабінету Міністрів України та цим Положенням.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3. </w:t>
      </w:r>
      <w:r w:rsidRPr="00535E37">
        <w:rPr>
          <w:rFonts w:ascii="Courier New" w:eastAsia="Times New Roman" w:hAnsi="Courier New" w:cs="Courier New"/>
          <w:b/>
          <w:color w:val="FFFFFF" w:themeColor="background1"/>
          <w:sz w:val="24"/>
          <w:szCs w:val="20"/>
          <w:highlight w:val="red"/>
          <w:lang w:eastAsia="ru-RU"/>
        </w:rPr>
        <w:t>Основними завданнями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 xml:space="preserve"> допоміжного органу є</w:t>
      </w:r>
      <w:r w:rsidRPr="00A00B27">
        <w:rPr>
          <w:rFonts w:ascii="Courier New" w:eastAsia="Times New Roman" w:hAnsi="Courier New" w:cs="Courier New"/>
          <w:color w:val="FF0000"/>
          <w:sz w:val="24"/>
          <w:szCs w:val="20"/>
          <w:lang w:eastAsia="ru-RU"/>
        </w:rPr>
        <w:t>: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сприяння забезпеченню  координації  дій  органів   виконавчої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влади з питань, що належать до його компетенції;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підготовка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>пропозицій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  щодо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t xml:space="preserve">формування і реалізації державної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highlight w:val="yellow"/>
          <w:lang w:eastAsia="ru-RU"/>
        </w:rPr>
        <w:br/>
        <w:t>політики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 у відповідній сфері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>;  визначен</w:t>
      </w:r>
      <w:bookmarkStart w:id="0" w:name="_GoBack"/>
      <w:bookmarkEnd w:id="0"/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ня  шляхів,  механізмів  та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способів   вирішення  проблемних  питань,  що  виникають  під  час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реалізації державної  політики  у  відповідній  сфері;  підвищення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ефективності  діяльності центральних і місцевих органів виконавчої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влади;  удосконалення  нормативно-правової  бази   з   відповідних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питань;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виконання   інших   завдань,   передбачених   актом  Кабінету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Міністрів України. { Пункт 3 доповнено абзацом згідно з Постановою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КМ N 691 ( </w:t>
      </w:r>
      <w:hyperlink r:id="rId17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691-201</w:t>
        </w:r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4</w:t>
        </w:r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26.11.2014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4. 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t xml:space="preserve">Допоміжний   орган   відповідно  до  покладених  на  нього </w:t>
      </w:r>
      <w:r w:rsidRPr="00535E37">
        <w:rPr>
          <w:rFonts w:ascii="Courier New" w:eastAsia="Times New Roman" w:hAnsi="Courier New" w:cs="Courier New"/>
          <w:sz w:val="24"/>
          <w:szCs w:val="20"/>
          <w:highlight w:val="yellow"/>
          <w:lang w:eastAsia="ru-RU"/>
        </w:rPr>
        <w:br/>
        <w:t>завдань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: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1) проводить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аналіз стану справ та причин виникнення  проблем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 процесі реалізації державної політики у відповідній сфері;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2)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вивчає   результати   діяльності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центральних  і  місцевих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органів  виконавчої  влади,  органів   місцевого   самоврядування,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підприємств,  установ та організацій з питань, що належать до його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компетенції;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3) проводить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моніторинг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</w:t>
      </w:r>
      <w:r w:rsidRPr="00535E37">
        <w:rPr>
          <w:rFonts w:ascii="Courier New" w:eastAsia="Times New Roman" w:hAnsi="Courier New" w:cs="Courier New"/>
          <w:b/>
          <w:sz w:val="24"/>
          <w:szCs w:val="20"/>
          <w:lang w:eastAsia="ru-RU"/>
        </w:rPr>
        <w:t>стану виконання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органами  виконавчої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влади покладених на них </w:t>
      </w:r>
      <w:r w:rsidRPr="00535E37">
        <w:rPr>
          <w:rFonts w:ascii="Courier New" w:eastAsia="Times New Roman" w:hAnsi="Courier New" w:cs="Courier New"/>
          <w:b/>
          <w:sz w:val="24"/>
          <w:szCs w:val="20"/>
          <w:lang w:eastAsia="ru-RU"/>
        </w:rPr>
        <w:t>завдань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     4) бере  участь  у  розробленні  проектів нормативно-правових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актів з питань, що належать до його компетенції;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5)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подає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Кабінетові   Міністрів   України   розроблені   за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результатами своєї роботи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>рекомендації та пропозиції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5. Допоміжний орган </w:t>
      </w:r>
      <w:r w:rsidRPr="00535E37">
        <w:rPr>
          <w:rFonts w:ascii="Courier New" w:eastAsia="Times New Roman" w:hAnsi="Courier New" w:cs="Courier New"/>
          <w:b/>
          <w:sz w:val="24"/>
          <w:szCs w:val="20"/>
          <w:highlight w:val="yellow"/>
          <w:lang w:eastAsia="ru-RU"/>
        </w:rPr>
        <w:t>має право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: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1) отримувати  в  установленому  порядку  від  центральних  і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місцевих   органів    виконавчої    влади,    органів    місцевого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самоврядування,  підприємств,  установ  та організацій інформацію,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необхідну для виконання покладених на нього завдань;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2) залучати  до   участі   у   своїй   роботі   представників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центральних і місцевих органів виконавчої влади, органів місцевого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самоврядування,   підприємств,   установ   та   організацій    (за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погодженням  з  їх керівниками),  а також незалежних експертів (за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згодою);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3) утворювати у разі  потреби  для  виконання  покладених  на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нього завдань постійні або тимчасові робочі групи;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4) організовувати проведення конференцій, семінарів, нарад та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інших заходів;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5)  мати  інші  права,  що визначені актом Кабінету Міністрів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>України.</w:t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{  Пункт  5  доповнено  підпунктом  5 згідно з Постановою КМ N 691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( </w:t>
      </w:r>
      <w:hyperlink r:id="rId18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691-2014-п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26.11.2014 }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6. Допоміжний орган під час  виконання  покладених  на  нього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завдань   взаємодіє  з  державними  органами,  органами  місцевого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самоврядування, підприємствами, установами та організаціями.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7. Посадовий  склад  допоміжного  органу  затверджує  Кабінет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Міністрів України.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До складу  допоміжного  органу  входять  голова (співголови),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заступник (заступники) голови,  члени Кабінету Міністрів  України,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представники  центральних  і місцевих органів виконавчої влади (за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погодженням з їх керівниками),  а  також  за  згодою  представники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органів   місцевого   самоврядування,   інших  державних  органів,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підприємств,  установ  та  організацій,  народні депутати України.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{  Абзац другий пункту 7 із змінами, внесеними згідно з Постановою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КМ N 983 ( </w:t>
      </w:r>
      <w:hyperlink r:id="rId19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983-2010-п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27.10.2010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Головою (співголовами) допоміжного органу затверджується член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Кабінету   Міністрів   України,   перший  заступник  чи  заступник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міністра,  голова  правління  державного  банку  або  інша  особа,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затверджена  актом  Кабінету  Міністрів  України.  {  Абзац третій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пункту  7  із  змінами,  внесеними  згідно  з  Постановою  КМ N 98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  </w:t>
      </w:r>
      <w:hyperlink r:id="rId20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98-2014-п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)  від  25.03.2014;  в  редакції  Постанови КМ N 124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  </w:t>
      </w:r>
      <w:hyperlink r:id="rId21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124-2014-п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)  від  30.04.2014,  із змінами, внесеними згідно з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Постановою КМ N 691 ( </w:t>
      </w:r>
      <w:hyperlink r:id="rId22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691-2014-п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26.11.2014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     Персональний склад допоміжного органу затверджує його  голова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(співголови), якщо інше не передбачено законом.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8.  Формою  роботи допоміжного органу, якщо інше не визначено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актом  Кабінету  Міністрів України, є засідання, що проводяться за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рішенням  його  голови  (співголів).  {  Абзац  перший пункту 8 із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змінами, внесеними згідно з Постановою КМ N 691 ( </w:t>
      </w:r>
      <w:hyperlink r:id="rId23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691-2014-п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від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26.11.2014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Засідання допоміжного органу веде голова (співголови),  а  за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його відсутності - заступник голови.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Підготовку матеріалів  для розгляду на засіданнях допоміжного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органу забезпечує його секретар.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Засідання допоміжного органу вважається правоможним,  якщо на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ньому присутні більш як половина його членів.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Для оперативного вирішення актуальних питань,  що належать до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компетенції допоміжного органу,  Кабінет  Міністрів  України  може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утворити  президію  допоміжного органу,  яка діє у період між його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засіданнями.  До  складу  президії  входять  голова  (співголови),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заступник   голови,   секретар   і   члени   допоміжного   органу.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Персональний  склад  президії   затверджує   голова   (співголови)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допоміжного органу.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9. На  своїх засіданнях допоміжний орган розробляє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t xml:space="preserve">пропозиції </w:t>
      </w:r>
      <w:r w:rsidRPr="00535E37">
        <w:rPr>
          <w:rFonts w:ascii="Courier New" w:eastAsia="Times New Roman" w:hAnsi="Courier New" w:cs="Courier New"/>
          <w:b/>
          <w:color w:val="FF0000"/>
          <w:sz w:val="24"/>
          <w:szCs w:val="20"/>
          <w:lang w:eastAsia="ru-RU"/>
        </w:rPr>
        <w:br/>
        <w:t>та рекомендації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з питань, що належать до його компетенції.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Пропозиції та рекомендації вважаються схваленими, якщо за них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проголосувало  більш  як  половина  присутніх  на засіданні членів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допоміжного   органу,   якщо   інша   процедура  їх  прийняття  не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встановлена  Кабінетом  Міністрів України. { Абзац другий пункту 9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із  змінами, внесеними згідно з Постановою КМ N 691 ( </w:t>
      </w:r>
      <w:hyperlink r:id="rId24" w:tgtFrame="_blank" w:history="1">
        <w:r w:rsidRPr="00535E37">
          <w:rPr>
            <w:rFonts w:ascii="Courier New" w:eastAsia="Times New Roman" w:hAnsi="Courier New" w:cs="Courier New"/>
            <w:color w:val="0000FF"/>
            <w:sz w:val="24"/>
            <w:szCs w:val="20"/>
            <w:u w:val="single"/>
            <w:lang w:eastAsia="ru-RU"/>
          </w:rPr>
          <w:t>691-2014-п</w:t>
        </w:r>
      </w:hyperlink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)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від 26.11.2014 }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У разі  рівного  розподілу  голосів   вирішальним   є   голос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головуючого на засіданні.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Пропозиції та  рекомендації фіксуються у протоколі засідання,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який  підписується  головуючим  на  засіданні  та   секретарем   і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надсилається   усім   членам   допоміжного  органу  та  Кабінетові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Міністрів України.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Член допоміжного  органу,  який   не   підтримує   пропозиції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(рекомендації), може викласти у письмовій формі свою окрему думку,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що додається до протоколу засідання.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10. Пропозиції та рекомендації допоміжного органу можуть бути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реалізовані  шляхом прийняття Кабінетом Міністрів України рішення,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проект якого вносить орган виконавчої влади  відповідно  до  своїх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повноважень.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У випадках,   передбачених  законом,  допоміжний  орган  може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приймати рішення,  обов'язкові для виконання  органами  виконавчої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влади,   органами   місцевого  самоврядування,  іншими  державними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lastRenderedPageBreak/>
        <w:t xml:space="preserve">органами,    підприємствами,    установами    та    організаціями,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громадянами.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11. Допоміжний  орган  використовує  у  роботі бланк із своїм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найменуванням.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t xml:space="preserve">     12. Організаційне,     інформаційне,     матеріально-технічне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забезпечення  діяльності  допоміжного  органу здійснює відповідний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 xml:space="preserve">орган виконавчої влади або Секретаріат Кабінету Міністрів України, </w:t>
      </w:r>
      <w:r w:rsidRPr="00535E37">
        <w:rPr>
          <w:rFonts w:ascii="Courier New" w:eastAsia="Times New Roman" w:hAnsi="Courier New" w:cs="Courier New"/>
          <w:sz w:val="24"/>
          <w:szCs w:val="20"/>
          <w:lang w:eastAsia="ru-RU"/>
        </w:rPr>
        <w:br/>
        <w:t>якщо інше не передбачено рішенням Кабінету Міністрів України.</w:t>
      </w:r>
    </w:p>
    <w:p w:rsidR="00A5263A" w:rsidRPr="00535E37" w:rsidRDefault="00A5263A" w:rsidP="00A5263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4"/>
          <w:szCs w:val="20"/>
          <w:lang w:eastAsia="ru-RU"/>
        </w:rPr>
      </w:pP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{  Пункт  12  із  змінами,  внесеними згідно з Постановою КМ N 983 </w:t>
      </w:r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br/>
        <w:t xml:space="preserve">( </w:t>
      </w:r>
      <w:hyperlink r:id="rId25" w:tgtFrame="_blank" w:history="1">
        <w:r w:rsidRPr="00535E37">
          <w:rPr>
            <w:rFonts w:ascii="Courier New" w:eastAsia="Times New Roman" w:hAnsi="Courier New" w:cs="Courier New"/>
            <w:i/>
            <w:iCs/>
            <w:color w:val="0000FF"/>
            <w:sz w:val="24"/>
            <w:szCs w:val="20"/>
            <w:u w:val="single"/>
            <w:lang w:eastAsia="ru-RU"/>
          </w:rPr>
          <w:t>983-2010-п</w:t>
        </w:r>
      </w:hyperlink>
      <w:r w:rsidRPr="00535E37">
        <w:rPr>
          <w:rFonts w:ascii="Courier New" w:eastAsia="Times New Roman" w:hAnsi="Courier New" w:cs="Courier New"/>
          <w:i/>
          <w:iCs/>
          <w:sz w:val="24"/>
          <w:szCs w:val="20"/>
          <w:lang w:eastAsia="ru-RU"/>
        </w:rPr>
        <w:t xml:space="preserve"> ) від 27.10.2010 } </w:t>
      </w:r>
    </w:p>
    <w:p w:rsidR="00D71A9D" w:rsidRPr="00535E37" w:rsidRDefault="00D71A9D">
      <w:pPr>
        <w:rPr>
          <w:sz w:val="28"/>
        </w:rPr>
      </w:pPr>
    </w:p>
    <w:sectPr w:rsidR="00D71A9D" w:rsidRPr="00535E37" w:rsidSect="00535E37">
      <w:pgSz w:w="11906" w:h="16838"/>
      <w:pgMar w:top="720" w:right="720" w:bottom="720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263A"/>
    <w:rsid w:val="00446764"/>
    <w:rsid w:val="00535E37"/>
    <w:rsid w:val="0060150E"/>
    <w:rsid w:val="00A00B27"/>
    <w:rsid w:val="00A5263A"/>
    <w:rsid w:val="00D71A9D"/>
    <w:rsid w:val="00E1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A1E141-C71F-4ACF-A942-C03D3B0FF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A5263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5263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A526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138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on.rada.gov.ua/laws/show/124-2014-%D0%BF" TargetMode="External"/><Relationship Id="rId13" Type="http://schemas.openxmlformats.org/officeDocument/2006/relationships/hyperlink" Target="https://zakon.rada.gov.ua/laws/show/124-2014-%D0%BF" TargetMode="External"/><Relationship Id="rId18" Type="http://schemas.openxmlformats.org/officeDocument/2006/relationships/hyperlink" Target="https://zakon.rada.gov.ua/laws/show/691-2014-%D0%BF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zakon.rada.gov.ua/laws/show/124-2014-%D0%BF" TargetMode="External"/><Relationship Id="rId7" Type="http://schemas.openxmlformats.org/officeDocument/2006/relationships/hyperlink" Target="https://zakon.rada.gov.ua/laws/show/98-2014-%D0%BF" TargetMode="External"/><Relationship Id="rId12" Type="http://schemas.openxmlformats.org/officeDocument/2006/relationships/hyperlink" Target="https://zakon.rada.gov.ua/laws/show/1330-2009-%D1%80" TargetMode="External"/><Relationship Id="rId17" Type="http://schemas.openxmlformats.org/officeDocument/2006/relationships/hyperlink" Target="https://zakon.rada.gov.ua/laws/show/691-2014-%D0%BF" TargetMode="External"/><Relationship Id="rId25" Type="http://schemas.openxmlformats.org/officeDocument/2006/relationships/hyperlink" Target="https://zakon.rada.gov.ua/laws/show/983-2010-%D0%BF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zakon.rada.gov.ua/laws/show/254%D0%BA/96-%D0%B2%D1%80" TargetMode="External"/><Relationship Id="rId20" Type="http://schemas.openxmlformats.org/officeDocument/2006/relationships/hyperlink" Target="https://zakon.rada.gov.ua/laws/show/98-2014-%D0%BF" TargetMode="External"/><Relationship Id="rId1" Type="http://schemas.openxmlformats.org/officeDocument/2006/relationships/styles" Target="styles.xml"/><Relationship Id="rId6" Type="http://schemas.openxmlformats.org/officeDocument/2006/relationships/hyperlink" Target="https://zakon.rada.gov.ua/laws/show/983-2010-%D0%BF" TargetMode="External"/><Relationship Id="rId11" Type="http://schemas.openxmlformats.org/officeDocument/2006/relationships/hyperlink" Target="https://zakon.rada.gov.ua/laws/show/691-2014-%D0%BF" TargetMode="External"/><Relationship Id="rId24" Type="http://schemas.openxmlformats.org/officeDocument/2006/relationships/hyperlink" Target="https://zakon.rada.gov.ua/laws/show/691-2014-%D0%BF" TargetMode="External"/><Relationship Id="rId5" Type="http://schemas.openxmlformats.org/officeDocument/2006/relationships/hyperlink" Target="https://zakon.rada.gov.ua/laws/show/1330-2009-%D1%80" TargetMode="External"/><Relationship Id="rId15" Type="http://schemas.openxmlformats.org/officeDocument/2006/relationships/hyperlink" Target="https://zakon.rada.gov.ua/laws/show/254%D0%BA/96-%D0%B2%D1%80" TargetMode="External"/><Relationship Id="rId23" Type="http://schemas.openxmlformats.org/officeDocument/2006/relationships/hyperlink" Target="https://zakon.rada.gov.ua/laws/show/691-2014-%D0%BF" TargetMode="External"/><Relationship Id="rId10" Type="http://schemas.openxmlformats.org/officeDocument/2006/relationships/hyperlink" Target="https://zakon.rada.gov.ua/laws/show/279-17" TargetMode="External"/><Relationship Id="rId19" Type="http://schemas.openxmlformats.org/officeDocument/2006/relationships/hyperlink" Target="https://zakon.rada.gov.ua/laws/show/983-2010-%D0%BF" TargetMode="External"/><Relationship Id="rId4" Type="http://schemas.openxmlformats.org/officeDocument/2006/relationships/image" Target="media/image1.gif"/><Relationship Id="rId9" Type="http://schemas.openxmlformats.org/officeDocument/2006/relationships/hyperlink" Target="https://zakon.rada.gov.ua/laws/show/691-2014-%D0%BF" TargetMode="External"/><Relationship Id="rId14" Type="http://schemas.openxmlformats.org/officeDocument/2006/relationships/hyperlink" Target="https://zakon.rada.gov.ua/laws/show/950-2007-%D0%BF" TargetMode="External"/><Relationship Id="rId22" Type="http://schemas.openxmlformats.org/officeDocument/2006/relationships/hyperlink" Target="https://zakon.rada.gov.ua/laws/show/691-2014-%D0%BF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2120</Words>
  <Characters>12088</Characters>
  <Application>Microsoft Office Word</Application>
  <DocSecurity>0</DocSecurity>
  <Lines>100</Lines>
  <Paragraphs>28</Paragraphs>
  <ScaleCrop>false</ScaleCrop>
  <Company>Grizli777</Company>
  <LinksUpToDate>false</LinksUpToDate>
  <CharactersWithSpaces>14180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Yuriy Tyzh</dc:creator>
  <cp:keywords/>
  <dc:description/>
  <cp:lastModifiedBy>Yuriy Tyzh</cp:lastModifiedBy>
  <cp:revision>6</cp:revision>
  <dcterms:created xsi:type="dcterms:W3CDTF">2019-04-09T17:03:00Z</dcterms:created>
  <dcterms:modified xsi:type="dcterms:W3CDTF">2019-04-09T17:26:00Z</dcterms:modified>
</cp:coreProperties>
</file>